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Laerru</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Sassari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